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5030" w:rsidRDefault="00425030" w:rsidP="00425030">
      <w:pPr>
        <w:jc w:val="center"/>
        <w:rPr>
          <w:rFonts w:ascii="Candara" w:hAnsi="Candara"/>
          <w:b/>
          <w:sz w:val="24"/>
          <w:szCs w:val="24"/>
          <w:u w:val="single"/>
        </w:rPr>
      </w:pPr>
      <w:r>
        <w:rPr>
          <w:rFonts w:ascii="Candara" w:hAnsi="Candara"/>
          <w:sz w:val="24"/>
          <w:szCs w:val="24"/>
        </w:rPr>
        <w:t>The Senior Lecturer criteria for the</w:t>
      </w:r>
    </w:p>
    <w:p w:rsidR="00425030" w:rsidRDefault="00425030" w:rsidP="00425030">
      <w:pPr>
        <w:jc w:val="center"/>
        <w:rPr>
          <w:rFonts w:ascii="Candara" w:hAnsi="Candara"/>
          <w:sz w:val="24"/>
          <w:szCs w:val="24"/>
        </w:rPr>
      </w:pPr>
      <w:r>
        <w:rPr>
          <w:rFonts w:ascii="Candara" w:hAnsi="Candara"/>
          <w:b/>
          <w:sz w:val="24"/>
          <w:szCs w:val="24"/>
          <w:u w:val="single"/>
        </w:rPr>
        <w:t>Department of Music</w:t>
      </w:r>
    </w:p>
    <w:p w:rsidR="00425030" w:rsidRDefault="00425030" w:rsidP="00810751">
      <w:pPr>
        <w:rPr>
          <w:rFonts w:ascii="Candara" w:hAnsi="Candara"/>
          <w:b/>
          <w:sz w:val="24"/>
          <w:szCs w:val="24"/>
          <w:u w:val="single"/>
        </w:rPr>
      </w:pPr>
      <w:bookmarkStart w:id="0" w:name="_GoBack"/>
      <w:bookmarkEnd w:id="0"/>
    </w:p>
    <w:p w:rsidR="00425030" w:rsidRDefault="00425030" w:rsidP="00810751">
      <w:pPr>
        <w:rPr>
          <w:rFonts w:ascii="Candara" w:hAnsi="Candara"/>
          <w:b/>
          <w:sz w:val="24"/>
          <w:szCs w:val="24"/>
          <w:u w:val="single"/>
        </w:rPr>
      </w:pPr>
    </w:p>
    <w:p w:rsidR="00810751" w:rsidRDefault="00810751" w:rsidP="00810751">
      <w:pPr>
        <w:rPr>
          <w:rFonts w:ascii="Candara" w:hAnsi="Candara"/>
          <w:b/>
          <w:sz w:val="24"/>
          <w:szCs w:val="24"/>
          <w:u w:val="single"/>
        </w:rPr>
      </w:pPr>
      <w:r>
        <w:rPr>
          <w:rFonts w:ascii="Candara" w:hAnsi="Candara"/>
          <w:b/>
          <w:sz w:val="24"/>
          <w:szCs w:val="24"/>
          <w:u w:val="single"/>
        </w:rPr>
        <w:t>Senior Teaching Lecturer</w:t>
      </w:r>
    </w:p>
    <w:p w:rsidR="00810751" w:rsidRDefault="00810751" w:rsidP="00810751">
      <w:pPr>
        <w:rPr>
          <w:rFonts w:ascii="Candara" w:hAnsi="Candara"/>
          <w:sz w:val="24"/>
          <w:szCs w:val="24"/>
        </w:rPr>
      </w:pPr>
    </w:p>
    <w:p w:rsidR="00810751" w:rsidRDefault="00810751" w:rsidP="00810751">
      <w:pPr>
        <w:autoSpaceDE w:val="0"/>
        <w:autoSpaceDN w:val="0"/>
        <w:jc w:val="both"/>
        <w:rPr>
          <w:rFonts w:ascii="Candara" w:hAnsi="Candara"/>
          <w:sz w:val="24"/>
          <w:szCs w:val="24"/>
        </w:rPr>
      </w:pPr>
      <w:r>
        <w:rPr>
          <w:rFonts w:ascii="Candara" w:hAnsi="Candara"/>
          <w:sz w:val="24"/>
          <w:szCs w:val="24"/>
        </w:rPr>
        <w:t>To be eligible for the title of Senior Teaching Lecturer, the faculty member must have completed 18 graduate hours in the relevant discipline, hold a master’s degree or meet the established alternative qualifications, have an outstanding record of teaching, and hold a full-time appointment under the title of Teaching Lecturer or higher at the University for a minimum of six years. Appointments holding this title must be conferred following promotion from Teaching Lecturer. Individuals holding this title are not allowed to vote on issues concerning tenure and promotion policies and procedures for tenured and tenure-track faculty.</w:t>
      </w:r>
    </w:p>
    <w:p w:rsidR="00810751" w:rsidRDefault="00810751" w:rsidP="00810751">
      <w:pPr>
        <w:rPr>
          <w:rFonts w:ascii="Candara" w:hAnsi="Candara"/>
          <w:sz w:val="24"/>
          <w:szCs w:val="24"/>
        </w:rPr>
      </w:pPr>
    </w:p>
    <w:p w:rsidR="00810751" w:rsidRDefault="00810751" w:rsidP="00810751">
      <w:pPr>
        <w:autoSpaceDE w:val="0"/>
        <w:autoSpaceDN w:val="0"/>
        <w:rPr>
          <w:rFonts w:ascii="Candara" w:hAnsi="Candara"/>
          <w:b/>
          <w:color w:val="000000"/>
          <w:sz w:val="24"/>
          <w:szCs w:val="24"/>
          <w:u w:val="single"/>
        </w:rPr>
      </w:pPr>
      <w:r>
        <w:rPr>
          <w:rFonts w:ascii="Candara" w:hAnsi="Candara"/>
          <w:b/>
          <w:color w:val="000000"/>
          <w:sz w:val="24"/>
          <w:szCs w:val="24"/>
          <w:u w:val="single"/>
        </w:rPr>
        <w:t>Promotion to Senior Teaching Lecturer</w:t>
      </w:r>
    </w:p>
    <w:p w:rsidR="00810751" w:rsidRDefault="00810751" w:rsidP="00810751">
      <w:pPr>
        <w:autoSpaceDE w:val="0"/>
        <w:autoSpaceDN w:val="0"/>
        <w:rPr>
          <w:rFonts w:ascii="Candara" w:hAnsi="Candara"/>
          <w:color w:val="000000"/>
          <w:sz w:val="24"/>
          <w:szCs w:val="24"/>
        </w:rPr>
      </w:pPr>
    </w:p>
    <w:p w:rsidR="00810751" w:rsidRDefault="00810751" w:rsidP="00810751">
      <w:pPr>
        <w:autoSpaceDE w:val="0"/>
        <w:autoSpaceDN w:val="0"/>
        <w:jc w:val="both"/>
        <w:rPr>
          <w:rFonts w:ascii="Candara" w:hAnsi="Candara"/>
          <w:color w:val="000000"/>
          <w:sz w:val="24"/>
          <w:szCs w:val="24"/>
        </w:rPr>
      </w:pPr>
      <w:r>
        <w:rPr>
          <w:rFonts w:ascii="Candara" w:hAnsi="Candara"/>
          <w:color w:val="000000"/>
          <w:sz w:val="24"/>
          <w:szCs w:val="24"/>
        </w:rPr>
        <w:t>A Teaching Lecturer may be identified as a candidate for Senior Teaching Lecturer by recommendation of the Department Chair and Dean after a minimum of six years of Service at the title of Teaching Lecturer or higher.  At the time of recommendation for candidacy, the Teaching Lecturer must specify in writing that she/he intends to seek promotion within two calendar weeks beginning on the date of recommendation.</w:t>
      </w:r>
    </w:p>
    <w:p w:rsidR="00810751" w:rsidRDefault="00810751" w:rsidP="00810751">
      <w:pPr>
        <w:autoSpaceDE w:val="0"/>
        <w:autoSpaceDN w:val="0"/>
        <w:jc w:val="both"/>
        <w:rPr>
          <w:rFonts w:ascii="Candara" w:hAnsi="Candara"/>
          <w:color w:val="000000"/>
          <w:sz w:val="24"/>
          <w:szCs w:val="24"/>
        </w:rPr>
      </w:pPr>
    </w:p>
    <w:p w:rsidR="00810751" w:rsidRDefault="00810751" w:rsidP="00810751">
      <w:pPr>
        <w:autoSpaceDE w:val="0"/>
        <w:autoSpaceDN w:val="0"/>
        <w:jc w:val="both"/>
        <w:rPr>
          <w:rFonts w:ascii="Candara" w:hAnsi="Candara"/>
          <w:color w:val="000000"/>
          <w:sz w:val="24"/>
          <w:szCs w:val="24"/>
        </w:rPr>
      </w:pPr>
      <w:r>
        <w:rPr>
          <w:rFonts w:ascii="Candara" w:hAnsi="Candara"/>
          <w:color w:val="000000"/>
          <w:sz w:val="24"/>
          <w:szCs w:val="24"/>
        </w:rPr>
        <w:t>Candidates who intend to seek promotion will be provided with copies of the College</w:t>
      </w:r>
    </w:p>
    <w:p w:rsidR="00810751" w:rsidRDefault="00810751" w:rsidP="00810751">
      <w:pPr>
        <w:autoSpaceDE w:val="0"/>
        <w:autoSpaceDN w:val="0"/>
        <w:jc w:val="both"/>
        <w:rPr>
          <w:rFonts w:ascii="Candara" w:hAnsi="Candara"/>
          <w:color w:val="000000"/>
          <w:sz w:val="24"/>
          <w:szCs w:val="24"/>
        </w:rPr>
      </w:pPr>
      <w:proofErr w:type="gramStart"/>
      <w:r>
        <w:rPr>
          <w:rFonts w:ascii="Candara" w:hAnsi="Candara"/>
          <w:color w:val="000000"/>
          <w:sz w:val="24"/>
          <w:szCs w:val="24"/>
        </w:rPr>
        <w:t>and</w:t>
      </w:r>
      <w:proofErr w:type="gramEnd"/>
      <w:r>
        <w:rPr>
          <w:rFonts w:ascii="Candara" w:hAnsi="Candara"/>
          <w:color w:val="000000"/>
          <w:sz w:val="24"/>
          <w:szCs w:val="24"/>
        </w:rPr>
        <w:t xml:space="preserve"> Departmental criteria and guidelines for promotion. </w:t>
      </w:r>
    </w:p>
    <w:p w:rsidR="00810751" w:rsidRDefault="00810751" w:rsidP="00810751">
      <w:pPr>
        <w:autoSpaceDE w:val="0"/>
        <w:autoSpaceDN w:val="0"/>
        <w:rPr>
          <w:rFonts w:ascii="Candara" w:hAnsi="Candara"/>
          <w:color w:val="000000"/>
          <w:sz w:val="24"/>
          <w:szCs w:val="24"/>
        </w:rPr>
      </w:pPr>
    </w:p>
    <w:p w:rsidR="009C12FA" w:rsidRDefault="009C12FA"/>
    <w:sectPr w:rsidR="009C12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751"/>
    <w:rsid w:val="000002EF"/>
    <w:rsid w:val="000070A6"/>
    <w:rsid w:val="00007350"/>
    <w:rsid w:val="00016D78"/>
    <w:rsid w:val="00033596"/>
    <w:rsid w:val="00036566"/>
    <w:rsid w:val="00055B65"/>
    <w:rsid w:val="00055BC5"/>
    <w:rsid w:val="00065DD3"/>
    <w:rsid w:val="00077244"/>
    <w:rsid w:val="0008726E"/>
    <w:rsid w:val="0009516C"/>
    <w:rsid w:val="000A15A0"/>
    <w:rsid w:val="000A3DC2"/>
    <w:rsid w:val="000A4579"/>
    <w:rsid w:val="000D15A8"/>
    <w:rsid w:val="000D54BB"/>
    <w:rsid w:val="000D5847"/>
    <w:rsid w:val="000D79EE"/>
    <w:rsid w:val="000F2F05"/>
    <w:rsid w:val="00103162"/>
    <w:rsid w:val="00117660"/>
    <w:rsid w:val="001254FD"/>
    <w:rsid w:val="00130D87"/>
    <w:rsid w:val="001311C1"/>
    <w:rsid w:val="00160A31"/>
    <w:rsid w:val="001610BF"/>
    <w:rsid w:val="0016147D"/>
    <w:rsid w:val="001754F3"/>
    <w:rsid w:val="00175DCA"/>
    <w:rsid w:val="001828A1"/>
    <w:rsid w:val="001850FB"/>
    <w:rsid w:val="00185C78"/>
    <w:rsid w:val="001A7972"/>
    <w:rsid w:val="001B0C04"/>
    <w:rsid w:val="001B3F5C"/>
    <w:rsid w:val="001B6586"/>
    <w:rsid w:val="001E007D"/>
    <w:rsid w:val="001F0A79"/>
    <w:rsid w:val="00212CA4"/>
    <w:rsid w:val="00222797"/>
    <w:rsid w:val="002552A0"/>
    <w:rsid w:val="00263FBC"/>
    <w:rsid w:val="0027365D"/>
    <w:rsid w:val="002756E9"/>
    <w:rsid w:val="0029074F"/>
    <w:rsid w:val="0029134A"/>
    <w:rsid w:val="002923F9"/>
    <w:rsid w:val="002A51B3"/>
    <w:rsid w:val="002A5F05"/>
    <w:rsid w:val="002A67C3"/>
    <w:rsid w:val="002B1B48"/>
    <w:rsid w:val="002B28E3"/>
    <w:rsid w:val="002C36A0"/>
    <w:rsid w:val="002D4DD6"/>
    <w:rsid w:val="002E2BF8"/>
    <w:rsid w:val="002E378A"/>
    <w:rsid w:val="002E52AB"/>
    <w:rsid w:val="003037A3"/>
    <w:rsid w:val="00311D13"/>
    <w:rsid w:val="0031378E"/>
    <w:rsid w:val="0031421B"/>
    <w:rsid w:val="003179AA"/>
    <w:rsid w:val="00321D8B"/>
    <w:rsid w:val="003274A9"/>
    <w:rsid w:val="00335FC9"/>
    <w:rsid w:val="00340D20"/>
    <w:rsid w:val="00355358"/>
    <w:rsid w:val="00364547"/>
    <w:rsid w:val="0037553F"/>
    <w:rsid w:val="00391E2D"/>
    <w:rsid w:val="00394011"/>
    <w:rsid w:val="003955AD"/>
    <w:rsid w:val="003B695A"/>
    <w:rsid w:val="003C7D8B"/>
    <w:rsid w:val="003D10B1"/>
    <w:rsid w:val="003D28CE"/>
    <w:rsid w:val="003D6F78"/>
    <w:rsid w:val="003E3F4C"/>
    <w:rsid w:val="003F05C7"/>
    <w:rsid w:val="003F0987"/>
    <w:rsid w:val="003F18A8"/>
    <w:rsid w:val="003F1B03"/>
    <w:rsid w:val="003F271F"/>
    <w:rsid w:val="003F687E"/>
    <w:rsid w:val="004027D1"/>
    <w:rsid w:val="00411037"/>
    <w:rsid w:val="004166FD"/>
    <w:rsid w:val="00423514"/>
    <w:rsid w:val="00425030"/>
    <w:rsid w:val="00425587"/>
    <w:rsid w:val="00436122"/>
    <w:rsid w:val="00441FAF"/>
    <w:rsid w:val="0044538D"/>
    <w:rsid w:val="004479C3"/>
    <w:rsid w:val="00455682"/>
    <w:rsid w:val="00457D2F"/>
    <w:rsid w:val="00480437"/>
    <w:rsid w:val="0048101A"/>
    <w:rsid w:val="004856D9"/>
    <w:rsid w:val="00490D73"/>
    <w:rsid w:val="004A13CF"/>
    <w:rsid w:val="004A2A79"/>
    <w:rsid w:val="004A2CF8"/>
    <w:rsid w:val="004B4AEF"/>
    <w:rsid w:val="004C55ED"/>
    <w:rsid w:val="004C60A3"/>
    <w:rsid w:val="004C71E8"/>
    <w:rsid w:val="004D0851"/>
    <w:rsid w:val="004E463A"/>
    <w:rsid w:val="005020FC"/>
    <w:rsid w:val="00504C05"/>
    <w:rsid w:val="00507FA8"/>
    <w:rsid w:val="00514294"/>
    <w:rsid w:val="00530595"/>
    <w:rsid w:val="005474A8"/>
    <w:rsid w:val="0056546D"/>
    <w:rsid w:val="00573F99"/>
    <w:rsid w:val="00591F4A"/>
    <w:rsid w:val="00596238"/>
    <w:rsid w:val="00596635"/>
    <w:rsid w:val="005A61F0"/>
    <w:rsid w:val="005B2BD7"/>
    <w:rsid w:val="005C3D7C"/>
    <w:rsid w:val="005C3FD6"/>
    <w:rsid w:val="005C785D"/>
    <w:rsid w:val="005D2489"/>
    <w:rsid w:val="005D35E4"/>
    <w:rsid w:val="005D75AD"/>
    <w:rsid w:val="005F38AA"/>
    <w:rsid w:val="0060112D"/>
    <w:rsid w:val="006012BD"/>
    <w:rsid w:val="00615CC1"/>
    <w:rsid w:val="00622591"/>
    <w:rsid w:val="0062431C"/>
    <w:rsid w:val="00631A32"/>
    <w:rsid w:val="006362F1"/>
    <w:rsid w:val="006627FD"/>
    <w:rsid w:val="006728E3"/>
    <w:rsid w:val="006853AF"/>
    <w:rsid w:val="00695E2C"/>
    <w:rsid w:val="006A5959"/>
    <w:rsid w:val="006A5F4A"/>
    <w:rsid w:val="006B3529"/>
    <w:rsid w:val="006B3545"/>
    <w:rsid w:val="006C0896"/>
    <w:rsid w:val="006C17EB"/>
    <w:rsid w:val="006D0451"/>
    <w:rsid w:val="006D471E"/>
    <w:rsid w:val="006E73AF"/>
    <w:rsid w:val="006F5667"/>
    <w:rsid w:val="00703866"/>
    <w:rsid w:val="00706260"/>
    <w:rsid w:val="00713122"/>
    <w:rsid w:val="00720F68"/>
    <w:rsid w:val="0073174E"/>
    <w:rsid w:val="00731B3C"/>
    <w:rsid w:val="00741FD2"/>
    <w:rsid w:val="007432A6"/>
    <w:rsid w:val="0074653E"/>
    <w:rsid w:val="007521F9"/>
    <w:rsid w:val="00755D32"/>
    <w:rsid w:val="007642FF"/>
    <w:rsid w:val="0076636E"/>
    <w:rsid w:val="00775223"/>
    <w:rsid w:val="007753E0"/>
    <w:rsid w:val="007808AC"/>
    <w:rsid w:val="0079652D"/>
    <w:rsid w:val="007C4C37"/>
    <w:rsid w:val="007C5A71"/>
    <w:rsid w:val="007C5C1F"/>
    <w:rsid w:val="007E396C"/>
    <w:rsid w:val="007E3CA5"/>
    <w:rsid w:val="007E4978"/>
    <w:rsid w:val="00802AD5"/>
    <w:rsid w:val="00804B35"/>
    <w:rsid w:val="00810751"/>
    <w:rsid w:val="00811BCC"/>
    <w:rsid w:val="0081262F"/>
    <w:rsid w:val="00813BB2"/>
    <w:rsid w:val="00826301"/>
    <w:rsid w:val="008307D0"/>
    <w:rsid w:val="0083461B"/>
    <w:rsid w:val="00841BB5"/>
    <w:rsid w:val="00842899"/>
    <w:rsid w:val="008473F9"/>
    <w:rsid w:val="008535E6"/>
    <w:rsid w:val="0086576E"/>
    <w:rsid w:val="00865B84"/>
    <w:rsid w:val="00865CF4"/>
    <w:rsid w:val="00877BFD"/>
    <w:rsid w:val="008832AF"/>
    <w:rsid w:val="00890F82"/>
    <w:rsid w:val="00893828"/>
    <w:rsid w:val="008A55A1"/>
    <w:rsid w:val="008B4912"/>
    <w:rsid w:val="008D00E5"/>
    <w:rsid w:val="008E4197"/>
    <w:rsid w:val="008F1A89"/>
    <w:rsid w:val="008F4D26"/>
    <w:rsid w:val="009006B4"/>
    <w:rsid w:val="00905926"/>
    <w:rsid w:val="00905AAA"/>
    <w:rsid w:val="00912E31"/>
    <w:rsid w:val="00914EF6"/>
    <w:rsid w:val="00915D4B"/>
    <w:rsid w:val="00935A5C"/>
    <w:rsid w:val="009437E6"/>
    <w:rsid w:val="0095555F"/>
    <w:rsid w:val="00962414"/>
    <w:rsid w:val="00963604"/>
    <w:rsid w:val="0096624C"/>
    <w:rsid w:val="009724FE"/>
    <w:rsid w:val="00976FEB"/>
    <w:rsid w:val="00977D56"/>
    <w:rsid w:val="0098211B"/>
    <w:rsid w:val="00994CC1"/>
    <w:rsid w:val="00995F62"/>
    <w:rsid w:val="009A2B2E"/>
    <w:rsid w:val="009C12FA"/>
    <w:rsid w:val="009D660D"/>
    <w:rsid w:val="009E0FC4"/>
    <w:rsid w:val="009E300C"/>
    <w:rsid w:val="009F2A46"/>
    <w:rsid w:val="009F30BE"/>
    <w:rsid w:val="009F6BC0"/>
    <w:rsid w:val="00A00D43"/>
    <w:rsid w:val="00A076D9"/>
    <w:rsid w:val="00A421F5"/>
    <w:rsid w:val="00A44D15"/>
    <w:rsid w:val="00A44EE4"/>
    <w:rsid w:val="00A64B32"/>
    <w:rsid w:val="00A815CD"/>
    <w:rsid w:val="00A81BF3"/>
    <w:rsid w:val="00AA269D"/>
    <w:rsid w:val="00AA365F"/>
    <w:rsid w:val="00AC1CD0"/>
    <w:rsid w:val="00AC6CDC"/>
    <w:rsid w:val="00AC738E"/>
    <w:rsid w:val="00AC7F5A"/>
    <w:rsid w:val="00B0420A"/>
    <w:rsid w:val="00B073E6"/>
    <w:rsid w:val="00B10534"/>
    <w:rsid w:val="00B16705"/>
    <w:rsid w:val="00B17470"/>
    <w:rsid w:val="00B20E16"/>
    <w:rsid w:val="00B21EA3"/>
    <w:rsid w:val="00B22FF2"/>
    <w:rsid w:val="00B30402"/>
    <w:rsid w:val="00B311A3"/>
    <w:rsid w:val="00B355EE"/>
    <w:rsid w:val="00B64111"/>
    <w:rsid w:val="00B81C88"/>
    <w:rsid w:val="00B84562"/>
    <w:rsid w:val="00B85265"/>
    <w:rsid w:val="00B86A22"/>
    <w:rsid w:val="00B937C0"/>
    <w:rsid w:val="00BA21D8"/>
    <w:rsid w:val="00BA4272"/>
    <w:rsid w:val="00BA6D81"/>
    <w:rsid w:val="00BB124A"/>
    <w:rsid w:val="00BD401D"/>
    <w:rsid w:val="00BE1024"/>
    <w:rsid w:val="00BE7BC7"/>
    <w:rsid w:val="00BF1561"/>
    <w:rsid w:val="00C03F88"/>
    <w:rsid w:val="00C16605"/>
    <w:rsid w:val="00C176E6"/>
    <w:rsid w:val="00C275F0"/>
    <w:rsid w:val="00C35B27"/>
    <w:rsid w:val="00C35BA5"/>
    <w:rsid w:val="00C35D39"/>
    <w:rsid w:val="00C42B56"/>
    <w:rsid w:val="00C43EB3"/>
    <w:rsid w:val="00C44869"/>
    <w:rsid w:val="00C62455"/>
    <w:rsid w:val="00C767E0"/>
    <w:rsid w:val="00C76988"/>
    <w:rsid w:val="00C806EF"/>
    <w:rsid w:val="00C84D58"/>
    <w:rsid w:val="00C85E2E"/>
    <w:rsid w:val="00C92D29"/>
    <w:rsid w:val="00C93D90"/>
    <w:rsid w:val="00CA3671"/>
    <w:rsid w:val="00CA6776"/>
    <w:rsid w:val="00CC1D8D"/>
    <w:rsid w:val="00CC4DEE"/>
    <w:rsid w:val="00CD3374"/>
    <w:rsid w:val="00CD3EFA"/>
    <w:rsid w:val="00CD4BD0"/>
    <w:rsid w:val="00CD55EA"/>
    <w:rsid w:val="00CE4FC3"/>
    <w:rsid w:val="00CF0855"/>
    <w:rsid w:val="00CF56C2"/>
    <w:rsid w:val="00D059E3"/>
    <w:rsid w:val="00D11271"/>
    <w:rsid w:val="00D128CB"/>
    <w:rsid w:val="00D1602A"/>
    <w:rsid w:val="00D22746"/>
    <w:rsid w:val="00D24832"/>
    <w:rsid w:val="00D26CFE"/>
    <w:rsid w:val="00D3366E"/>
    <w:rsid w:val="00D363F8"/>
    <w:rsid w:val="00D41ACA"/>
    <w:rsid w:val="00D55420"/>
    <w:rsid w:val="00D6420C"/>
    <w:rsid w:val="00D65386"/>
    <w:rsid w:val="00D71097"/>
    <w:rsid w:val="00D8007B"/>
    <w:rsid w:val="00D93F9C"/>
    <w:rsid w:val="00DA1749"/>
    <w:rsid w:val="00DB42A9"/>
    <w:rsid w:val="00DE440E"/>
    <w:rsid w:val="00DE5BE6"/>
    <w:rsid w:val="00E03A61"/>
    <w:rsid w:val="00E121F7"/>
    <w:rsid w:val="00E1248B"/>
    <w:rsid w:val="00E14955"/>
    <w:rsid w:val="00E1651D"/>
    <w:rsid w:val="00E1781A"/>
    <w:rsid w:val="00E2799C"/>
    <w:rsid w:val="00E360D9"/>
    <w:rsid w:val="00E442A6"/>
    <w:rsid w:val="00E45E14"/>
    <w:rsid w:val="00E474F2"/>
    <w:rsid w:val="00E52ECC"/>
    <w:rsid w:val="00E63193"/>
    <w:rsid w:val="00E7560B"/>
    <w:rsid w:val="00E8508E"/>
    <w:rsid w:val="00E861D7"/>
    <w:rsid w:val="00E925BE"/>
    <w:rsid w:val="00E955F0"/>
    <w:rsid w:val="00EB7ABD"/>
    <w:rsid w:val="00EC1858"/>
    <w:rsid w:val="00EC5409"/>
    <w:rsid w:val="00ED03AA"/>
    <w:rsid w:val="00ED2BF8"/>
    <w:rsid w:val="00ED7BFC"/>
    <w:rsid w:val="00EE1669"/>
    <w:rsid w:val="00EE2DB6"/>
    <w:rsid w:val="00EE4704"/>
    <w:rsid w:val="00EE5D48"/>
    <w:rsid w:val="00EF1008"/>
    <w:rsid w:val="00EF160E"/>
    <w:rsid w:val="00EF5C2C"/>
    <w:rsid w:val="00F01660"/>
    <w:rsid w:val="00F10967"/>
    <w:rsid w:val="00F25233"/>
    <w:rsid w:val="00F34D24"/>
    <w:rsid w:val="00F411C9"/>
    <w:rsid w:val="00F62849"/>
    <w:rsid w:val="00F65298"/>
    <w:rsid w:val="00F654A4"/>
    <w:rsid w:val="00F65E28"/>
    <w:rsid w:val="00F662D0"/>
    <w:rsid w:val="00F67099"/>
    <w:rsid w:val="00F72B62"/>
    <w:rsid w:val="00F7796D"/>
    <w:rsid w:val="00F806C7"/>
    <w:rsid w:val="00F8212C"/>
    <w:rsid w:val="00F87335"/>
    <w:rsid w:val="00F9017E"/>
    <w:rsid w:val="00FA12DC"/>
    <w:rsid w:val="00FB478F"/>
    <w:rsid w:val="00FB7AC9"/>
    <w:rsid w:val="00FC4389"/>
    <w:rsid w:val="00FD2C35"/>
    <w:rsid w:val="00FE213E"/>
    <w:rsid w:val="00FE24B4"/>
    <w:rsid w:val="00FE2F4D"/>
    <w:rsid w:val="00FE4363"/>
    <w:rsid w:val="00FE7D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0751"/>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0751"/>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6489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197</Words>
  <Characters>1124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2013-07-18T14:22:00Z</dcterms:created>
  <dcterms:modified xsi:type="dcterms:W3CDTF">2013-07-18T14:22:00Z</dcterms:modified>
</cp:coreProperties>
</file>